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B158" w14:textId="77777777" w:rsidR="0017097C" w:rsidRDefault="000729C2">
      <w:pPr>
        <w:pStyle w:val="BodyText"/>
        <w:ind w:left="600"/>
        <w:rPr>
          <w:rFonts w:ascii="Times New Roman"/>
          <w:sz w:val="20"/>
        </w:rPr>
      </w:pPr>
      <w:r>
        <w:rPr>
          <w:rFonts w:ascii="Times New Roman"/>
          <w:noProof/>
          <w:sz w:val="20"/>
        </w:rPr>
        <w:drawing>
          <wp:anchor distT="0" distB="0" distL="114300" distR="114300" simplePos="0" relativeHeight="251658240" behindDoc="0" locked="0" layoutInCell="1" allowOverlap="1" wp14:anchorId="4796AAB1" wp14:editId="7A1F2F2D">
            <wp:simplePos x="0" y="0"/>
            <wp:positionH relativeFrom="column">
              <wp:posOffset>12700</wp:posOffset>
            </wp:positionH>
            <wp:positionV relativeFrom="paragraph">
              <wp:posOffset>0</wp:posOffset>
            </wp:positionV>
            <wp:extent cx="6604000" cy="20688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SSP_cactus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4000" cy="2068830"/>
                    </a:xfrm>
                    <a:prstGeom prst="rect">
                      <a:avLst/>
                    </a:prstGeom>
                  </pic:spPr>
                </pic:pic>
              </a:graphicData>
            </a:graphic>
          </wp:anchor>
        </w:drawing>
      </w:r>
    </w:p>
    <w:p w14:paraId="113C5C22" w14:textId="77777777" w:rsidR="0017097C" w:rsidRDefault="000729C2">
      <w:pPr>
        <w:ind w:left="2428" w:right="2387"/>
        <w:jc w:val="center"/>
        <w:rPr>
          <w:b/>
          <w:sz w:val="32"/>
        </w:rPr>
      </w:pPr>
      <w:r>
        <w:rPr>
          <w:b/>
          <w:sz w:val="32"/>
        </w:rPr>
        <w:t>Nomination Process and Criteria for: “Executive of the Year Award”</w:t>
      </w:r>
    </w:p>
    <w:p w14:paraId="53A72BB0" w14:textId="77777777" w:rsidR="0017097C" w:rsidRDefault="0017097C">
      <w:pPr>
        <w:pStyle w:val="BodyText"/>
        <w:spacing w:before="10"/>
        <w:ind w:left="0"/>
        <w:rPr>
          <w:b/>
          <w:sz w:val="31"/>
        </w:rPr>
      </w:pPr>
    </w:p>
    <w:p w14:paraId="4F43E6A3" w14:textId="77777777" w:rsidR="0017097C" w:rsidRDefault="000729C2">
      <w:pPr>
        <w:pStyle w:val="Heading1"/>
        <w:spacing w:line="276" w:lineRule="exact"/>
      </w:pPr>
      <w:r>
        <w:t>Purpose of the Award:</w:t>
      </w:r>
    </w:p>
    <w:p w14:paraId="7AF3E409" w14:textId="26572A0C" w:rsidR="0017097C" w:rsidRDefault="000729C2">
      <w:pPr>
        <w:pStyle w:val="BodyText"/>
        <w:ind w:left="107" w:right="227"/>
      </w:pPr>
      <w:r>
        <w:t>The “Executive of the Year Award” is presented annually by the Arizona Chapter of ASS</w:t>
      </w:r>
      <w:r w:rsidR="0015418D">
        <w:t>P</w:t>
      </w:r>
      <w:r>
        <w:t>. The purpose of the award is to recognize an individual, who is not a safety practitioner, but who visibly and actively supports safety and health.</w:t>
      </w:r>
    </w:p>
    <w:p w14:paraId="798031E4" w14:textId="573A7A0D" w:rsidR="0017097C" w:rsidRDefault="000729C2">
      <w:pPr>
        <w:pStyle w:val="Heading1"/>
        <w:spacing w:before="2" w:line="550" w:lineRule="atLeast"/>
        <w:ind w:right="1511"/>
      </w:pPr>
      <w:r>
        <w:t>Nominations must be submitted no later than March 1st of the chapter year. Nomination process:</w:t>
      </w:r>
    </w:p>
    <w:p w14:paraId="4606E526" w14:textId="1AC3CD00" w:rsidR="0017097C" w:rsidRDefault="000729C2">
      <w:pPr>
        <w:pStyle w:val="BodyText"/>
        <w:spacing w:before="2"/>
        <w:ind w:left="107" w:right="414"/>
      </w:pPr>
      <w:r>
        <w:t>All nominations for the annual Arizona Chapter “Executive of the Year Award” must be submitted in writing before they will be considered. Nominations, for the current chapter year, will be due on March 1st of the chapter year. The date will be announced at the Chapter meetings and in the newsletter.</w:t>
      </w:r>
    </w:p>
    <w:p w14:paraId="1191BD3F" w14:textId="77777777" w:rsidR="0017097C" w:rsidRDefault="0017097C">
      <w:pPr>
        <w:pStyle w:val="BodyText"/>
        <w:spacing w:before="9"/>
        <w:ind w:left="0"/>
        <w:rPr>
          <w:sz w:val="23"/>
        </w:rPr>
      </w:pPr>
    </w:p>
    <w:p w14:paraId="1F15D695" w14:textId="77777777" w:rsidR="0017097C" w:rsidRDefault="000729C2">
      <w:pPr>
        <w:pStyle w:val="BodyText"/>
        <w:ind w:left="107"/>
      </w:pPr>
      <w:r>
        <w:t>All nominations must be submitted by a current member of the Arizona Chapter.</w:t>
      </w:r>
    </w:p>
    <w:p w14:paraId="23D5CA8D" w14:textId="77777777" w:rsidR="0017097C" w:rsidRDefault="0017097C">
      <w:pPr>
        <w:pStyle w:val="BodyText"/>
        <w:spacing w:before="2"/>
        <w:ind w:left="0"/>
      </w:pPr>
    </w:p>
    <w:p w14:paraId="5BC85472" w14:textId="77777777" w:rsidR="0017097C" w:rsidRDefault="000729C2">
      <w:pPr>
        <w:pStyle w:val="Heading1"/>
        <w:ind w:left="2426" w:right="2387"/>
        <w:jc w:val="center"/>
      </w:pPr>
      <w:r>
        <w:t>NOMINATION CRITERIA</w:t>
      </w:r>
    </w:p>
    <w:p w14:paraId="2F5C6F5C" w14:textId="77777777" w:rsidR="0017097C" w:rsidRDefault="0017097C">
      <w:pPr>
        <w:pStyle w:val="BodyText"/>
        <w:spacing w:before="10"/>
        <w:ind w:left="0"/>
        <w:rPr>
          <w:b/>
          <w:sz w:val="23"/>
        </w:rPr>
      </w:pPr>
    </w:p>
    <w:p w14:paraId="0828DD04" w14:textId="0D4418BD" w:rsidR="0017097C" w:rsidRDefault="000729C2">
      <w:pPr>
        <w:pStyle w:val="ListParagraph"/>
        <w:numPr>
          <w:ilvl w:val="0"/>
          <w:numId w:val="1"/>
        </w:numPr>
        <w:tabs>
          <w:tab w:val="left" w:pos="468"/>
        </w:tabs>
        <w:ind w:right="580" w:hanging="359"/>
        <w:rPr>
          <w:sz w:val="24"/>
        </w:rPr>
      </w:pPr>
      <w:r>
        <w:rPr>
          <w:sz w:val="24"/>
        </w:rPr>
        <w:t>The</w:t>
      </w:r>
      <w:r>
        <w:rPr>
          <w:spacing w:val="-4"/>
          <w:sz w:val="24"/>
        </w:rPr>
        <w:t xml:space="preserve"> </w:t>
      </w:r>
      <w:r>
        <w:rPr>
          <w:sz w:val="24"/>
        </w:rPr>
        <w:t>nominee</w:t>
      </w:r>
      <w:r>
        <w:rPr>
          <w:spacing w:val="-4"/>
          <w:sz w:val="24"/>
        </w:rPr>
        <w:t xml:space="preserve"> </w:t>
      </w:r>
      <w:r>
        <w:rPr>
          <w:sz w:val="24"/>
        </w:rPr>
        <w:t>cannot</w:t>
      </w:r>
      <w:r>
        <w:rPr>
          <w:spacing w:val="-4"/>
          <w:sz w:val="24"/>
        </w:rPr>
        <w:t xml:space="preserve"> </w:t>
      </w:r>
      <w:r>
        <w:rPr>
          <w:sz w:val="24"/>
        </w:rPr>
        <w:t>be</w:t>
      </w:r>
      <w:r>
        <w:rPr>
          <w:spacing w:val="-4"/>
          <w:sz w:val="24"/>
        </w:rPr>
        <w:t xml:space="preserve"> </w:t>
      </w:r>
      <w:r>
        <w:rPr>
          <w:sz w:val="24"/>
        </w:rPr>
        <w:t>a</w:t>
      </w:r>
      <w:r>
        <w:rPr>
          <w:spacing w:val="-4"/>
          <w:sz w:val="24"/>
        </w:rPr>
        <w:t xml:space="preserve"> </w:t>
      </w:r>
      <w:r>
        <w:rPr>
          <w:sz w:val="24"/>
        </w:rPr>
        <w:t>safety</w:t>
      </w:r>
      <w:r>
        <w:rPr>
          <w:spacing w:val="-4"/>
          <w:sz w:val="24"/>
        </w:rPr>
        <w:t xml:space="preserve"> </w:t>
      </w:r>
      <w:r w:rsidR="0015418D">
        <w:rPr>
          <w:sz w:val="24"/>
        </w:rPr>
        <w:t>practitioner but</w:t>
      </w:r>
      <w:r>
        <w:rPr>
          <w:spacing w:val="-5"/>
          <w:sz w:val="24"/>
        </w:rPr>
        <w:t xml:space="preserve"> </w:t>
      </w:r>
      <w:r>
        <w:rPr>
          <w:sz w:val="24"/>
        </w:rPr>
        <w:t>must</w:t>
      </w:r>
      <w:r>
        <w:rPr>
          <w:spacing w:val="-4"/>
          <w:sz w:val="24"/>
        </w:rPr>
        <w:t xml:space="preserve"> </w:t>
      </w:r>
      <w:r>
        <w:rPr>
          <w:sz w:val="24"/>
        </w:rPr>
        <w:t>be</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supervisory</w:t>
      </w:r>
      <w:r>
        <w:rPr>
          <w:spacing w:val="-4"/>
          <w:sz w:val="24"/>
        </w:rPr>
        <w:t xml:space="preserve"> </w:t>
      </w:r>
      <w:r>
        <w:rPr>
          <w:sz w:val="24"/>
        </w:rPr>
        <w:t>or</w:t>
      </w:r>
      <w:r>
        <w:rPr>
          <w:spacing w:val="-4"/>
          <w:sz w:val="24"/>
        </w:rPr>
        <w:t xml:space="preserve"> </w:t>
      </w:r>
      <w:r>
        <w:rPr>
          <w:sz w:val="24"/>
        </w:rPr>
        <w:t xml:space="preserve">managerial role. The intent is to recognize someone who is a champion for safety and provides leadership, but who is </w:t>
      </w:r>
      <w:r>
        <w:rPr>
          <w:b/>
          <w:sz w:val="24"/>
        </w:rPr>
        <w:t xml:space="preserve">not </w:t>
      </w:r>
      <w:r>
        <w:rPr>
          <w:sz w:val="24"/>
        </w:rPr>
        <w:t>a safety</w:t>
      </w:r>
      <w:r>
        <w:rPr>
          <w:spacing w:val="-4"/>
          <w:sz w:val="24"/>
        </w:rPr>
        <w:t xml:space="preserve"> </w:t>
      </w:r>
      <w:r>
        <w:rPr>
          <w:sz w:val="24"/>
        </w:rPr>
        <w:t>professional.</w:t>
      </w:r>
    </w:p>
    <w:p w14:paraId="22B38599" w14:textId="77777777" w:rsidR="0017097C" w:rsidRDefault="000729C2">
      <w:pPr>
        <w:pStyle w:val="ListParagraph"/>
        <w:numPr>
          <w:ilvl w:val="0"/>
          <w:numId w:val="1"/>
        </w:numPr>
        <w:tabs>
          <w:tab w:val="left" w:pos="468"/>
        </w:tabs>
        <w:ind w:hanging="359"/>
        <w:rPr>
          <w:sz w:val="24"/>
        </w:rPr>
      </w:pPr>
      <w:r>
        <w:rPr>
          <w:sz w:val="24"/>
        </w:rPr>
        <w:t>The nominee must demonstrate commitment to safety and health programs and</w:t>
      </w:r>
      <w:r>
        <w:rPr>
          <w:spacing w:val="-1"/>
          <w:sz w:val="24"/>
        </w:rPr>
        <w:t xml:space="preserve"> </w:t>
      </w:r>
      <w:r>
        <w:rPr>
          <w:sz w:val="24"/>
        </w:rPr>
        <w:t>systems.</w:t>
      </w:r>
    </w:p>
    <w:p w14:paraId="5C18F953" w14:textId="77777777" w:rsidR="0017097C" w:rsidRDefault="000729C2">
      <w:pPr>
        <w:pStyle w:val="ListParagraph"/>
        <w:numPr>
          <w:ilvl w:val="0"/>
          <w:numId w:val="1"/>
        </w:numPr>
        <w:tabs>
          <w:tab w:val="left" w:pos="468"/>
        </w:tabs>
        <w:ind w:right="697" w:hanging="359"/>
        <w:rPr>
          <w:sz w:val="24"/>
        </w:rPr>
      </w:pPr>
      <w:r>
        <w:rPr>
          <w:sz w:val="24"/>
        </w:rPr>
        <w:t>The nominee must promote safety and health, not only in the workplace, but also in the community.</w:t>
      </w:r>
    </w:p>
    <w:p w14:paraId="4521CE94" w14:textId="77777777" w:rsidR="0017097C" w:rsidRDefault="000729C2">
      <w:pPr>
        <w:pStyle w:val="ListParagraph"/>
        <w:numPr>
          <w:ilvl w:val="0"/>
          <w:numId w:val="1"/>
        </w:numPr>
        <w:tabs>
          <w:tab w:val="left" w:pos="468"/>
        </w:tabs>
        <w:ind w:right="232" w:hanging="359"/>
        <w:rPr>
          <w:sz w:val="24"/>
        </w:rPr>
      </w:pPr>
      <w:r>
        <w:rPr>
          <w:sz w:val="24"/>
        </w:rPr>
        <w:t>The nominee must visibly support the professional development of safety professionals and support their membership/active involvement in</w:t>
      </w:r>
      <w:r>
        <w:rPr>
          <w:spacing w:val="-2"/>
          <w:sz w:val="24"/>
        </w:rPr>
        <w:t xml:space="preserve"> </w:t>
      </w:r>
      <w:r>
        <w:rPr>
          <w:sz w:val="24"/>
        </w:rPr>
        <w:t>ASSP.</w:t>
      </w:r>
    </w:p>
    <w:p w14:paraId="3CFECD0C" w14:textId="77777777" w:rsidR="0017097C" w:rsidRDefault="000729C2">
      <w:pPr>
        <w:pStyle w:val="ListParagraph"/>
        <w:numPr>
          <w:ilvl w:val="0"/>
          <w:numId w:val="1"/>
        </w:numPr>
        <w:tabs>
          <w:tab w:val="left" w:pos="468"/>
        </w:tabs>
        <w:ind w:hanging="359"/>
        <w:rPr>
          <w:sz w:val="24"/>
        </w:rPr>
      </w:pPr>
      <w:r>
        <w:rPr>
          <w:sz w:val="24"/>
        </w:rPr>
        <w:t>The</w:t>
      </w:r>
      <w:r>
        <w:rPr>
          <w:spacing w:val="-3"/>
          <w:sz w:val="24"/>
        </w:rPr>
        <w:t xml:space="preserve"> </w:t>
      </w:r>
      <w:r>
        <w:rPr>
          <w:sz w:val="24"/>
        </w:rPr>
        <w:t>nominee</w:t>
      </w:r>
      <w:r>
        <w:rPr>
          <w:spacing w:val="-3"/>
          <w:sz w:val="24"/>
        </w:rPr>
        <w:t xml:space="preserve"> </w:t>
      </w:r>
      <w:r>
        <w:rPr>
          <w:sz w:val="24"/>
        </w:rPr>
        <w:t>must</w:t>
      </w:r>
      <w:r>
        <w:rPr>
          <w:spacing w:val="-3"/>
          <w:sz w:val="24"/>
        </w:rPr>
        <w:t xml:space="preserve"> </w:t>
      </w:r>
      <w:r>
        <w:rPr>
          <w:sz w:val="24"/>
        </w:rPr>
        <w:t>lead</w:t>
      </w:r>
      <w:r>
        <w:rPr>
          <w:spacing w:val="-3"/>
          <w:sz w:val="24"/>
        </w:rPr>
        <w:t xml:space="preserve"> </w:t>
      </w:r>
      <w:r>
        <w:rPr>
          <w:sz w:val="24"/>
        </w:rPr>
        <w:t>by</w:t>
      </w:r>
      <w:r>
        <w:rPr>
          <w:spacing w:val="-3"/>
          <w:sz w:val="24"/>
        </w:rPr>
        <w:t xml:space="preserve"> </w:t>
      </w:r>
      <w:r>
        <w:rPr>
          <w:sz w:val="24"/>
        </w:rPr>
        <w:t>example</w:t>
      </w:r>
      <w:r>
        <w:rPr>
          <w:spacing w:val="-3"/>
          <w:sz w:val="24"/>
        </w:rPr>
        <w:t xml:space="preserve"> </w:t>
      </w:r>
      <w:r>
        <w:rPr>
          <w:sz w:val="24"/>
        </w:rPr>
        <w:t>and</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role</w:t>
      </w:r>
      <w:r>
        <w:rPr>
          <w:spacing w:val="-2"/>
          <w:sz w:val="24"/>
        </w:rPr>
        <w:t xml:space="preserve"> </w:t>
      </w:r>
      <w:r>
        <w:rPr>
          <w:sz w:val="24"/>
        </w:rPr>
        <w:t>model</w:t>
      </w:r>
      <w:r>
        <w:rPr>
          <w:spacing w:val="-3"/>
          <w:sz w:val="24"/>
        </w:rPr>
        <w:t xml:space="preserve"> </w:t>
      </w:r>
      <w:r>
        <w:rPr>
          <w:sz w:val="24"/>
        </w:rPr>
        <w:t>for</w:t>
      </w:r>
      <w:r>
        <w:rPr>
          <w:spacing w:val="-3"/>
          <w:sz w:val="24"/>
        </w:rPr>
        <w:t xml:space="preserve"> </w:t>
      </w:r>
      <w:r>
        <w:rPr>
          <w:sz w:val="24"/>
        </w:rPr>
        <w:t>their</w:t>
      </w:r>
      <w:r>
        <w:rPr>
          <w:spacing w:val="-3"/>
          <w:sz w:val="24"/>
        </w:rPr>
        <w:t xml:space="preserve"> </w:t>
      </w:r>
      <w:r>
        <w:rPr>
          <w:sz w:val="24"/>
        </w:rPr>
        <w:t>belief</w:t>
      </w:r>
      <w:r>
        <w:rPr>
          <w:spacing w:val="-3"/>
          <w:sz w:val="24"/>
        </w:rPr>
        <w:t xml:space="preserve"> </w:t>
      </w:r>
      <w:r>
        <w:rPr>
          <w:sz w:val="24"/>
        </w:rPr>
        <w:t>that</w:t>
      </w:r>
      <w:r>
        <w:rPr>
          <w:spacing w:val="-4"/>
          <w:sz w:val="24"/>
        </w:rPr>
        <w:t xml:space="preserve"> </w:t>
      </w:r>
      <w:r>
        <w:rPr>
          <w:sz w:val="24"/>
        </w:rPr>
        <w:t>safety</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value.</w:t>
      </w:r>
    </w:p>
    <w:p w14:paraId="160D1190" w14:textId="77777777" w:rsidR="0017097C" w:rsidRDefault="000729C2">
      <w:pPr>
        <w:pStyle w:val="ListParagraph"/>
        <w:numPr>
          <w:ilvl w:val="0"/>
          <w:numId w:val="1"/>
        </w:numPr>
        <w:tabs>
          <w:tab w:val="left" w:pos="468"/>
        </w:tabs>
        <w:ind w:right="151" w:hanging="359"/>
        <w:rPr>
          <w:sz w:val="24"/>
        </w:rPr>
      </w:pPr>
      <w:r>
        <w:rPr>
          <w:sz w:val="24"/>
        </w:rPr>
        <w:t>The nomination package must include a summary of the safety and health accomplishments of their department or company for a least one year and no farther back than 3</w:t>
      </w:r>
      <w:r>
        <w:rPr>
          <w:spacing w:val="-18"/>
          <w:sz w:val="24"/>
        </w:rPr>
        <w:t xml:space="preserve"> </w:t>
      </w:r>
      <w:r>
        <w:rPr>
          <w:sz w:val="24"/>
        </w:rPr>
        <w:t>years.</w:t>
      </w:r>
    </w:p>
    <w:p w14:paraId="0E6790BD" w14:textId="77777777" w:rsidR="0017097C" w:rsidRDefault="0017097C">
      <w:pPr>
        <w:pStyle w:val="BodyText"/>
        <w:ind w:left="0"/>
      </w:pPr>
    </w:p>
    <w:p w14:paraId="36286AD1" w14:textId="12B5BCCA" w:rsidR="0017097C" w:rsidRDefault="000729C2">
      <w:pPr>
        <w:pStyle w:val="BodyText"/>
        <w:ind w:left="107"/>
      </w:pPr>
      <w:r>
        <w:t xml:space="preserve">E-mail nominations to the following address: </w:t>
      </w:r>
      <w:hyperlink r:id="rId6" w:history="1">
        <w:r w:rsidR="00A50D8D" w:rsidRPr="00DC6E3E">
          <w:rPr>
            <w:rStyle w:val="Hyperlink"/>
          </w:rPr>
          <w:t>nominations@az.assp.org</w:t>
        </w:r>
      </w:hyperlink>
    </w:p>
    <w:p w14:paraId="2FFDB9CC" w14:textId="77777777" w:rsidR="0015418D" w:rsidRDefault="0015418D">
      <w:pPr>
        <w:pStyle w:val="BodyText"/>
        <w:ind w:left="107"/>
      </w:pPr>
    </w:p>
    <w:sectPr w:rsidR="0015418D">
      <w:type w:val="continuous"/>
      <w:pgSz w:w="12240" w:h="15840"/>
      <w:pgMar w:top="720"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A11"/>
    <w:multiLevelType w:val="hybridMultilevel"/>
    <w:tmpl w:val="E0C0D2E8"/>
    <w:lvl w:ilvl="0" w:tplc="BF14D5CE">
      <w:start w:val="1"/>
      <w:numFmt w:val="decimal"/>
      <w:lvlText w:val="%1."/>
      <w:lvlJc w:val="left"/>
      <w:pPr>
        <w:ind w:left="467" w:hanging="360"/>
        <w:jc w:val="left"/>
      </w:pPr>
      <w:rPr>
        <w:rFonts w:ascii="Arial" w:eastAsia="Arial" w:hAnsi="Arial" w:cs="Arial" w:hint="default"/>
        <w:spacing w:val="-2"/>
        <w:w w:val="99"/>
        <w:sz w:val="24"/>
        <w:szCs w:val="24"/>
      </w:rPr>
    </w:lvl>
    <w:lvl w:ilvl="1" w:tplc="D3DA06BA">
      <w:numFmt w:val="bullet"/>
      <w:lvlText w:val="•"/>
      <w:lvlJc w:val="left"/>
      <w:pPr>
        <w:ind w:left="1454" w:hanging="360"/>
      </w:pPr>
      <w:rPr>
        <w:rFonts w:hint="default"/>
      </w:rPr>
    </w:lvl>
    <w:lvl w:ilvl="2" w:tplc="49C202CC">
      <w:numFmt w:val="bullet"/>
      <w:lvlText w:val="•"/>
      <w:lvlJc w:val="left"/>
      <w:pPr>
        <w:ind w:left="2448" w:hanging="360"/>
      </w:pPr>
      <w:rPr>
        <w:rFonts w:hint="default"/>
      </w:rPr>
    </w:lvl>
    <w:lvl w:ilvl="3" w:tplc="A7D2A8EA">
      <w:numFmt w:val="bullet"/>
      <w:lvlText w:val="•"/>
      <w:lvlJc w:val="left"/>
      <w:pPr>
        <w:ind w:left="3442" w:hanging="360"/>
      </w:pPr>
      <w:rPr>
        <w:rFonts w:hint="default"/>
      </w:rPr>
    </w:lvl>
    <w:lvl w:ilvl="4" w:tplc="AF92FD16">
      <w:numFmt w:val="bullet"/>
      <w:lvlText w:val="•"/>
      <w:lvlJc w:val="left"/>
      <w:pPr>
        <w:ind w:left="4436" w:hanging="360"/>
      </w:pPr>
      <w:rPr>
        <w:rFonts w:hint="default"/>
      </w:rPr>
    </w:lvl>
    <w:lvl w:ilvl="5" w:tplc="FB86CDE6">
      <w:numFmt w:val="bullet"/>
      <w:lvlText w:val="•"/>
      <w:lvlJc w:val="left"/>
      <w:pPr>
        <w:ind w:left="5430" w:hanging="360"/>
      </w:pPr>
      <w:rPr>
        <w:rFonts w:hint="default"/>
      </w:rPr>
    </w:lvl>
    <w:lvl w:ilvl="6" w:tplc="7304FE68">
      <w:numFmt w:val="bullet"/>
      <w:lvlText w:val="•"/>
      <w:lvlJc w:val="left"/>
      <w:pPr>
        <w:ind w:left="6424" w:hanging="360"/>
      </w:pPr>
      <w:rPr>
        <w:rFonts w:hint="default"/>
      </w:rPr>
    </w:lvl>
    <w:lvl w:ilvl="7" w:tplc="69FA3984">
      <w:numFmt w:val="bullet"/>
      <w:lvlText w:val="•"/>
      <w:lvlJc w:val="left"/>
      <w:pPr>
        <w:ind w:left="7418" w:hanging="360"/>
      </w:pPr>
      <w:rPr>
        <w:rFonts w:hint="default"/>
      </w:rPr>
    </w:lvl>
    <w:lvl w:ilvl="8" w:tplc="D64EFA80">
      <w:numFmt w:val="bullet"/>
      <w:lvlText w:val="•"/>
      <w:lvlJc w:val="left"/>
      <w:pPr>
        <w:ind w:left="84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7C"/>
    <w:rsid w:val="000729C2"/>
    <w:rsid w:val="000B4283"/>
    <w:rsid w:val="0015418D"/>
    <w:rsid w:val="0017097C"/>
    <w:rsid w:val="00A50D8D"/>
    <w:rsid w:val="00C56491"/>
    <w:rsid w:val="00D0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E81D"/>
  <w15:docId w15:val="{D1AA8EAE-C1F1-44F8-B423-7F0A9C29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pPr>
    <w:rPr>
      <w:sz w:val="24"/>
      <w:szCs w:val="24"/>
    </w:rPr>
  </w:style>
  <w:style w:type="paragraph" w:styleId="ListParagraph">
    <w:name w:val="List Paragraph"/>
    <w:basedOn w:val="Normal"/>
    <w:uiPriority w:val="1"/>
    <w:qFormat/>
    <w:pPr>
      <w:ind w:left="467"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0D8D"/>
    <w:rPr>
      <w:color w:val="0000FF" w:themeColor="hyperlink"/>
      <w:u w:val="single"/>
    </w:rPr>
  </w:style>
  <w:style w:type="character" w:styleId="UnresolvedMention">
    <w:name w:val="Unresolved Mention"/>
    <w:basedOn w:val="DefaultParagraphFont"/>
    <w:uiPriority w:val="99"/>
    <w:semiHidden/>
    <w:unhideWhenUsed/>
    <w:rsid w:val="00A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minations@az.assp.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Brandon (RMD)</dc:creator>
  <cp:lastModifiedBy>Chris Brandon (RMD)</cp:lastModifiedBy>
  <cp:revision>2</cp:revision>
  <dcterms:created xsi:type="dcterms:W3CDTF">2022-11-03T00:29:00Z</dcterms:created>
  <dcterms:modified xsi:type="dcterms:W3CDTF">2022-11-03T00:29:00Z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Creator">
    <vt:lpwstr>PScript5.dll Version 5.2.2</vt:lpwstr>
  </property>
  <property fmtid="{D5CDD505-2E9C-101B-9397-08002B2CF9AE}" pid="4" name="LastSaved">
    <vt:filetime>2019-01-11T00:00:00Z</vt:filetime>
  </property>
</Properties>
</file>